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4"/>
        <w:gridCol w:w="1452"/>
        <w:gridCol w:w="1635"/>
        <w:gridCol w:w="1514"/>
        <w:gridCol w:w="1428"/>
      </w:tblGrid>
      <w:tr w:rsidR="002F4821" w:rsidRPr="002F4821" w:rsidTr="002F4821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4821" w:rsidRPr="002F4821" w:rsidRDefault="002F4821" w:rsidP="002F482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58:</w:t>
            </w:r>
            <w:r w:rsidRPr="002F482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AGDRP payments at 30 June 2013</w:t>
            </w:r>
          </w:p>
        </w:tc>
      </w:tr>
      <w:tr w:rsidR="002F4821" w:rsidRPr="002F4821" w:rsidTr="002F482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Tasmania bushfires</w:t>
            </w: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Wambelong bushfires</w:t>
            </w: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Queensland floods</w:t>
            </w: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New South Wales floods</w:t>
            </w:r>
            <w:r w:rsidRPr="002F482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4</w:t>
            </w:r>
          </w:p>
        </w:tc>
      </w:tr>
      <w:tr w:rsidR="002F4821" w:rsidRPr="002F4821" w:rsidTr="002F48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Calls taken by the Australian Government Emergency Information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12,600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1,500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180,000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17,800</w:t>
            </w:r>
          </w:p>
        </w:tc>
      </w:tr>
      <w:tr w:rsidR="002F4821" w:rsidRPr="002F4821" w:rsidTr="002F48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7,400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163,000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18,000</w:t>
            </w:r>
          </w:p>
        </w:tc>
      </w:tr>
      <w:tr w:rsidR="002F4821" w:rsidRPr="002F4821" w:rsidTr="002F48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Claims paid to affected people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120,000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14,000</w:t>
            </w:r>
          </w:p>
        </w:tc>
      </w:tr>
      <w:tr w:rsidR="002F4821" w:rsidRPr="002F4821" w:rsidTr="002F482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Amount paid into people’s bank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$8.1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$1.0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$141.4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4821" w:rsidRPr="002F4821" w:rsidRDefault="002F4821" w:rsidP="002F48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F482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&gt; $17.3 million</w:t>
            </w:r>
          </w:p>
        </w:tc>
      </w:tr>
    </w:tbl>
    <w:p w:rsidR="002F4821" w:rsidRDefault="002F4821" w:rsidP="002F48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2F4821" w:rsidRPr="002F4821" w:rsidRDefault="002F4821" w:rsidP="002F48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2F4821">
        <w:rPr>
          <w:rFonts w:ascii="Verdana" w:eastAsia="Times New Roman" w:hAnsi="Verdana" w:cs="Times New Roman"/>
          <w:sz w:val="15"/>
          <w:szCs w:val="15"/>
          <w:lang w:val="en" w:eastAsia="en-AU"/>
        </w:rPr>
        <w:t>1.AGDRP activated for affected areas on 6 January 2013.</w:t>
      </w:r>
    </w:p>
    <w:p w:rsidR="002F4821" w:rsidRPr="002F4821" w:rsidRDefault="002F4821" w:rsidP="002F48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2F4821">
        <w:rPr>
          <w:rFonts w:ascii="Verdana" w:eastAsia="Times New Roman" w:hAnsi="Verdana" w:cs="Times New Roman"/>
          <w:sz w:val="15"/>
          <w:szCs w:val="15"/>
          <w:lang w:val="en" w:eastAsia="en-AU"/>
        </w:rPr>
        <w:t>2.AGDRP activated for affected areas on 16 January 2013.</w:t>
      </w:r>
    </w:p>
    <w:p w:rsidR="002F4821" w:rsidRPr="002F4821" w:rsidRDefault="002F4821" w:rsidP="002F48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2F4821">
        <w:rPr>
          <w:rFonts w:ascii="Verdana" w:eastAsia="Times New Roman" w:hAnsi="Verdana" w:cs="Times New Roman"/>
          <w:sz w:val="15"/>
          <w:szCs w:val="15"/>
          <w:lang w:val="en" w:eastAsia="en-AU"/>
        </w:rPr>
        <w:t>3.AGDRP activated for affected areas on 28 January 2013.</w:t>
      </w:r>
    </w:p>
    <w:p w:rsidR="002F4821" w:rsidRPr="002F4821" w:rsidRDefault="002F4821" w:rsidP="002F482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2F4821">
        <w:rPr>
          <w:rFonts w:ascii="Verdana" w:eastAsia="Times New Roman" w:hAnsi="Verdana" w:cs="Times New Roman"/>
          <w:sz w:val="15"/>
          <w:szCs w:val="15"/>
          <w:lang w:val="en" w:eastAsia="en-AU"/>
        </w:rPr>
        <w:t>4.AGDRP activated for affected areas on 6 February 2013.</w:t>
      </w:r>
    </w:p>
    <w:p w:rsidR="006F7EF6" w:rsidRPr="002F4821" w:rsidRDefault="006F7EF6" w:rsidP="002F4821"/>
    <w:sectPr w:rsidR="006F7EF6" w:rsidRPr="002F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82"/>
    <w:rsid w:val="002F4821"/>
    <w:rsid w:val="006F7EF6"/>
    <w:rsid w:val="00D0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F482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F48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F482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F48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7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562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3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2014-02-24T04:06:00Z</dcterms:created>
  <dcterms:modified xsi:type="dcterms:W3CDTF">2014-03-04T22:53:00Z</dcterms:modified>
</cp:coreProperties>
</file>